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068" w:rsidRPr="00A13068" w:rsidRDefault="00A13068" w:rsidP="00A13068">
      <w:pPr>
        <w:ind w:firstLineChars="1000" w:firstLine="2380"/>
        <w:rPr>
          <w:rFonts w:asciiTheme="minorEastAsia" w:hAnsiTheme="minorEastAsia" w:cs="ＭＳゴシック"/>
          <w:sz w:val="24"/>
          <w:szCs w:val="24"/>
        </w:rPr>
      </w:pPr>
      <w:r w:rsidRPr="00A13068">
        <w:rPr>
          <w:rFonts w:asciiTheme="minorEastAsia" w:hAnsiTheme="minorEastAsia" w:cs="ＭＳゴシック" w:hint="eastAsia"/>
          <w:sz w:val="24"/>
          <w:szCs w:val="24"/>
        </w:rPr>
        <w:t>守谷市公共工事中間前金払取扱</w:t>
      </w:r>
      <w:r>
        <w:rPr>
          <w:rFonts w:asciiTheme="minorEastAsia" w:hAnsiTheme="minorEastAsia" w:cs="ＭＳゴシック" w:hint="eastAsia"/>
          <w:sz w:val="24"/>
          <w:szCs w:val="24"/>
        </w:rPr>
        <w:t>要領</w:t>
      </w:r>
    </w:p>
    <w:p w:rsidR="00A13068" w:rsidRPr="00A13068" w:rsidRDefault="00A13068" w:rsidP="00A13068">
      <w:pPr>
        <w:ind w:firstLineChars="100" w:firstLine="238"/>
        <w:rPr>
          <w:rFonts w:asciiTheme="minorEastAsia" w:hAnsiTheme="minorEastAsia" w:cs="ＭＳ明朝"/>
          <w:sz w:val="24"/>
          <w:szCs w:val="24"/>
        </w:rPr>
      </w:pPr>
      <w:r w:rsidRPr="00A13068">
        <w:rPr>
          <w:rFonts w:asciiTheme="minorEastAsia" w:hAnsiTheme="minorEastAsia" w:cs="ＭＳ明朝" w:hint="eastAsia"/>
          <w:sz w:val="24"/>
          <w:szCs w:val="24"/>
        </w:rPr>
        <w:t>（趣旨）</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第１条</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この</w:t>
      </w:r>
      <w:r>
        <w:rPr>
          <w:rFonts w:asciiTheme="minorEastAsia" w:hAnsiTheme="minorEastAsia" w:cs="ＭＳ明朝" w:hint="eastAsia"/>
          <w:sz w:val="24"/>
          <w:szCs w:val="24"/>
        </w:rPr>
        <w:t>要領</w:t>
      </w:r>
      <w:r w:rsidRPr="00A13068">
        <w:rPr>
          <w:rFonts w:asciiTheme="minorEastAsia" w:hAnsiTheme="minorEastAsia" w:cs="ＭＳ明朝" w:hint="eastAsia"/>
          <w:sz w:val="24"/>
          <w:szCs w:val="24"/>
        </w:rPr>
        <w:t>は，守谷市契約事務規則（平成１８年規則第１１号）第３９条</w:t>
      </w:r>
      <w:r>
        <w:rPr>
          <w:rFonts w:asciiTheme="minorEastAsia" w:hAnsiTheme="minorEastAsia" w:cs="ＭＳ明朝" w:hint="eastAsia"/>
          <w:sz w:val="24"/>
          <w:szCs w:val="24"/>
        </w:rPr>
        <w:t>第２項</w:t>
      </w:r>
      <w:r w:rsidRPr="00A13068">
        <w:rPr>
          <w:rFonts w:asciiTheme="minorEastAsia" w:hAnsiTheme="minorEastAsia" w:cs="ＭＳ明朝" w:hint="eastAsia"/>
          <w:sz w:val="24"/>
          <w:szCs w:val="24"/>
        </w:rPr>
        <w:t>の規定による公共工事に要する経費の前金払に追加してする前金払（以下「中間前金払」という。）に関し必要な事項を定めるものとする。</w:t>
      </w:r>
    </w:p>
    <w:p w:rsidR="00A13068" w:rsidRPr="00A13068" w:rsidRDefault="00A13068" w:rsidP="00A13068">
      <w:pPr>
        <w:ind w:firstLineChars="100" w:firstLine="238"/>
        <w:rPr>
          <w:rFonts w:asciiTheme="minorEastAsia" w:hAnsiTheme="minorEastAsia" w:cs="ＭＳ明朝"/>
          <w:sz w:val="24"/>
          <w:szCs w:val="24"/>
        </w:rPr>
      </w:pPr>
      <w:r w:rsidRPr="00A13068">
        <w:rPr>
          <w:rFonts w:asciiTheme="minorEastAsia" w:hAnsiTheme="minorEastAsia" w:cs="ＭＳ明朝" w:hint="eastAsia"/>
          <w:sz w:val="24"/>
          <w:szCs w:val="24"/>
        </w:rPr>
        <w:t>（中間前金払の対象）</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第２条</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中間前金払は，請負代金額５００万円以上の工事，かつ，既に前払金の支払いを受けた工事を対象とする。</w:t>
      </w:r>
    </w:p>
    <w:p w:rsidR="00A13068" w:rsidRPr="00A13068" w:rsidRDefault="00A13068" w:rsidP="00A13068">
      <w:pPr>
        <w:ind w:firstLineChars="100" w:firstLine="238"/>
        <w:rPr>
          <w:rFonts w:asciiTheme="minorEastAsia" w:hAnsiTheme="minorEastAsia" w:cs="ＭＳ明朝"/>
          <w:sz w:val="24"/>
          <w:szCs w:val="24"/>
        </w:rPr>
      </w:pPr>
      <w:r w:rsidRPr="00A13068">
        <w:rPr>
          <w:rFonts w:asciiTheme="minorEastAsia" w:hAnsiTheme="minorEastAsia" w:cs="ＭＳ明朝" w:hint="eastAsia"/>
          <w:sz w:val="24"/>
          <w:szCs w:val="24"/>
        </w:rPr>
        <w:t>（中間前金払の要件）</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第３条</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中間前金払は，次の要件をすべて満たしている場合に支出するものとする。</w:t>
      </w:r>
    </w:p>
    <w:p w:rsidR="00A13068" w:rsidRPr="00A13068" w:rsidRDefault="00A13068" w:rsidP="00A13068">
      <w:pPr>
        <w:ind w:firstLineChars="100" w:firstLine="238"/>
        <w:rPr>
          <w:rFonts w:asciiTheme="minorEastAsia" w:hAnsiTheme="minorEastAsia" w:cs="ＭＳ明朝"/>
          <w:sz w:val="24"/>
          <w:szCs w:val="24"/>
        </w:rPr>
      </w:pPr>
      <w:r w:rsidRPr="00A13068">
        <w:rPr>
          <w:rFonts w:asciiTheme="minorEastAsia" w:hAnsiTheme="minorEastAsia" w:cs="ＭＳ明朝" w:hint="eastAsia"/>
          <w:sz w:val="24"/>
          <w:szCs w:val="24"/>
        </w:rPr>
        <w:t>（１）工期の２分の１を経過していること。</w:t>
      </w:r>
    </w:p>
    <w:p w:rsidR="00A13068" w:rsidRPr="00A13068" w:rsidRDefault="00A13068" w:rsidP="00A13068">
      <w:pPr>
        <w:ind w:leftChars="92" w:left="713" w:hangingChars="200" w:hanging="476"/>
        <w:rPr>
          <w:rFonts w:asciiTheme="minorEastAsia" w:hAnsiTheme="minorEastAsia" w:cs="ＭＳ明朝"/>
          <w:sz w:val="24"/>
          <w:szCs w:val="24"/>
        </w:rPr>
      </w:pPr>
      <w:r w:rsidRPr="00A13068">
        <w:rPr>
          <w:rFonts w:asciiTheme="minorEastAsia" w:hAnsiTheme="minorEastAsia" w:cs="ＭＳ明朝" w:hint="eastAsia"/>
          <w:sz w:val="24"/>
          <w:szCs w:val="24"/>
        </w:rPr>
        <w:t>（２）工程表により工期の２分の１を経過するまでに実施すべきものとされて</w:t>
      </w:r>
      <w:r>
        <w:rPr>
          <w:rFonts w:asciiTheme="minorEastAsia" w:hAnsiTheme="minorEastAsia" w:cs="ＭＳ明朝" w:hint="eastAsia"/>
          <w:sz w:val="24"/>
          <w:szCs w:val="24"/>
        </w:rPr>
        <w:t xml:space="preserve">い　　</w:t>
      </w:r>
      <w:r w:rsidRPr="00A13068">
        <w:rPr>
          <w:rFonts w:asciiTheme="minorEastAsia" w:hAnsiTheme="minorEastAsia" w:cs="ＭＳ明朝" w:hint="eastAsia"/>
          <w:sz w:val="24"/>
          <w:szCs w:val="24"/>
        </w:rPr>
        <w:t>る当該工事に係る作業が行われていること。</w:t>
      </w:r>
    </w:p>
    <w:p w:rsidR="00A13068" w:rsidRPr="00A13068" w:rsidRDefault="00A13068" w:rsidP="00A13068">
      <w:pPr>
        <w:ind w:leftChars="92" w:left="713" w:hangingChars="200" w:hanging="476"/>
        <w:rPr>
          <w:rFonts w:asciiTheme="minorEastAsia" w:hAnsiTheme="minorEastAsia" w:cs="ＭＳ明朝"/>
          <w:sz w:val="24"/>
          <w:szCs w:val="24"/>
        </w:rPr>
      </w:pPr>
      <w:r>
        <w:rPr>
          <w:rFonts w:asciiTheme="minorEastAsia" w:hAnsiTheme="minorEastAsia" w:cs="ＭＳ明朝" w:hint="eastAsia"/>
          <w:sz w:val="24"/>
          <w:szCs w:val="24"/>
        </w:rPr>
        <w:t>（３）</w:t>
      </w:r>
      <w:r w:rsidRPr="00A13068">
        <w:rPr>
          <w:rFonts w:asciiTheme="minorEastAsia" w:hAnsiTheme="minorEastAsia" w:cs="ＭＳ明朝" w:hint="eastAsia"/>
          <w:sz w:val="24"/>
          <w:szCs w:val="24"/>
        </w:rPr>
        <w:t>既に行われた当該工事に係る作業に要する経費が請負代金額の２分の１以上の額に相当するものであること。</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２</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継続費及び債務負担行為（以下「継続費等」という。）に係る契約においては，前項中「工期」とあるのは「当該会計年度の工事実施期間」と，「工程表により工期の２分の１を経過」とあるのは「工程表により当該会計年度の工事実施期間の２分の１を経過」と，「既に行われた当該工事」とあるのは「既に行われた当該会計年度の工事」と，「請負代金額」とあるのは「当該会計年度における年割額」と読み替えて，前項の規定を準用するものとする。</w:t>
      </w:r>
    </w:p>
    <w:p w:rsidR="00A13068" w:rsidRPr="00A13068" w:rsidRDefault="00A13068" w:rsidP="00A13068">
      <w:pPr>
        <w:ind w:firstLineChars="100" w:firstLine="238"/>
        <w:rPr>
          <w:rFonts w:asciiTheme="minorEastAsia" w:hAnsiTheme="minorEastAsia" w:cs="ＭＳ明朝"/>
          <w:sz w:val="24"/>
          <w:szCs w:val="24"/>
        </w:rPr>
      </w:pPr>
      <w:r w:rsidRPr="00A13068">
        <w:rPr>
          <w:rFonts w:asciiTheme="minorEastAsia" w:hAnsiTheme="minorEastAsia" w:cs="ＭＳ明朝" w:hint="eastAsia"/>
          <w:sz w:val="24"/>
          <w:szCs w:val="24"/>
        </w:rPr>
        <w:t>（中間前金払の割合等）</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第４条</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中間前払金は，請負代金額の１０分の２に相当する額の範囲内で支払いは万単位で行う。この場合において，１万円未満の端数は切り捨てるものとする。</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２</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継続費等の２年以上にわたる契約における中間前金払は，当該継続費等の各年度の年割額に相当する部分の工事等の金額に対してすることができる。</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３</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繰越明許費支弁の翌年度にわたる契約における中間前金払は，契約締結の当初における請負代金額の総額に対してすることができる。</w:t>
      </w:r>
    </w:p>
    <w:p w:rsidR="00A13068" w:rsidRPr="00A13068" w:rsidRDefault="00A13068" w:rsidP="00A13068">
      <w:pPr>
        <w:ind w:firstLineChars="100" w:firstLine="238"/>
        <w:rPr>
          <w:rFonts w:asciiTheme="minorEastAsia" w:hAnsiTheme="minorEastAsia" w:cs="ＭＳ明朝"/>
          <w:color w:val="000000" w:themeColor="text1"/>
          <w:sz w:val="24"/>
          <w:szCs w:val="24"/>
        </w:rPr>
      </w:pPr>
      <w:r w:rsidRPr="00A13068">
        <w:rPr>
          <w:rFonts w:asciiTheme="minorEastAsia" w:hAnsiTheme="minorEastAsia" w:cs="ＭＳ明朝" w:hint="eastAsia"/>
          <w:color w:val="000000" w:themeColor="text1"/>
          <w:sz w:val="24"/>
          <w:szCs w:val="24"/>
        </w:rPr>
        <w:t>（中間前金払と部分払との併用）</w:t>
      </w:r>
    </w:p>
    <w:p w:rsidR="00A13068" w:rsidRPr="00A13068" w:rsidRDefault="00A13068" w:rsidP="00A13068">
      <w:pPr>
        <w:ind w:left="238" w:hangingChars="100" w:hanging="238"/>
        <w:rPr>
          <w:rFonts w:asciiTheme="minorEastAsia" w:hAnsiTheme="minorEastAsia" w:cs="ＭＳ明朝"/>
          <w:color w:val="000000" w:themeColor="text1"/>
          <w:sz w:val="24"/>
          <w:szCs w:val="24"/>
        </w:rPr>
      </w:pPr>
      <w:r w:rsidRPr="00A13068">
        <w:rPr>
          <w:rFonts w:asciiTheme="minorEastAsia" w:hAnsiTheme="minorEastAsia" w:cs="ＭＳ明朝" w:hint="eastAsia"/>
          <w:color w:val="000000" w:themeColor="text1"/>
          <w:sz w:val="24"/>
          <w:szCs w:val="24"/>
        </w:rPr>
        <w:t>第５条　受注者は，中間前金払と部分払いを併用することができる。ただし，部分払いを受けた後には中間前金払の請求をすることはできない。</w:t>
      </w:r>
    </w:p>
    <w:p w:rsidR="00A13068" w:rsidRPr="00A13068" w:rsidRDefault="00A13068" w:rsidP="00A13068">
      <w:pPr>
        <w:rPr>
          <w:rFonts w:asciiTheme="minorEastAsia" w:hAnsiTheme="minorEastAsia" w:cs="ＭＳ明朝"/>
          <w:sz w:val="24"/>
          <w:szCs w:val="24"/>
        </w:rPr>
      </w:pPr>
      <w:r w:rsidRPr="00A13068">
        <w:rPr>
          <w:rFonts w:asciiTheme="minorEastAsia" w:hAnsiTheme="minorEastAsia" w:cs="ＭＳ明朝" w:hint="eastAsia"/>
          <w:sz w:val="24"/>
          <w:szCs w:val="24"/>
        </w:rPr>
        <w:t>（中間前金払の申請等）</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第６条</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中間前</w:t>
      </w:r>
      <w:r>
        <w:rPr>
          <w:rFonts w:asciiTheme="minorEastAsia" w:hAnsiTheme="minorEastAsia" w:cs="ＭＳ明朝" w:hint="eastAsia"/>
          <w:sz w:val="24"/>
          <w:szCs w:val="24"/>
        </w:rPr>
        <w:t>金</w:t>
      </w:r>
      <w:r w:rsidRPr="00A13068">
        <w:rPr>
          <w:rFonts w:asciiTheme="minorEastAsia" w:hAnsiTheme="minorEastAsia" w:cs="ＭＳ明朝" w:hint="eastAsia"/>
          <w:sz w:val="24"/>
          <w:szCs w:val="24"/>
        </w:rPr>
        <w:t>払の支払いを受けようとする受注者は，中間前金払の認定請求書</w:t>
      </w:r>
      <w:r w:rsidRPr="00A13068">
        <w:rPr>
          <w:rFonts w:asciiTheme="minorEastAsia" w:hAnsiTheme="minorEastAsia" w:cs="ＭＳ明朝" w:hint="eastAsia"/>
          <w:color w:val="000000" w:themeColor="text1"/>
          <w:sz w:val="24"/>
          <w:szCs w:val="24"/>
        </w:rPr>
        <w:t>（様式第１号）に，</w:t>
      </w:r>
      <w:r w:rsidRPr="00A13068">
        <w:rPr>
          <w:rFonts w:asciiTheme="minorEastAsia" w:hAnsiTheme="minorEastAsia" w:cs="ＭＳ明朝" w:hint="eastAsia"/>
          <w:sz w:val="24"/>
          <w:szCs w:val="24"/>
        </w:rPr>
        <w:t>工事履行報告書</w:t>
      </w:r>
      <w:r w:rsidRPr="00A13068">
        <w:rPr>
          <w:rFonts w:asciiTheme="minorEastAsia" w:hAnsiTheme="minorEastAsia" w:cs="ＭＳ明朝" w:hint="eastAsia"/>
          <w:color w:val="000000" w:themeColor="text1"/>
          <w:sz w:val="24"/>
          <w:szCs w:val="24"/>
        </w:rPr>
        <w:t>（様式第２号）を添えて工事担当課へ</w:t>
      </w:r>
      <w:r w:rsidRPr="00A13068">
        <w:rPr>
          <w:rFonts w:asciiTheme="minorEastAsia" w:hAnsiTheme="minorEastAsia" w:cs="ＭＳ明朝" w:hint="eastAsia"/>
          <w:sz w:val="24"/>
          <w:szCs w:val="24"/>
        </w:rPr>
        <w:t>提出しなければならない。</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２</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工事担当課は，前項の認定請求書が提出されたときは，第３条第１項各号の要件を満たしているか否かを原則７日以内に調査し，その結果が妥当と認められる場合は，中間前</w:t>
      </w:r>
      <w:r>
        <w:rPr>
          <w:rFonts w:asciiTheme="minorEastAsia" w:hAnsiTheme="minorEastAsia" w:cs="ＭＳ明朝" w:hint="eastAsia"/>
          <w:sz w:val="24"/>
          <w:szCs w:val="24"/>
        </w:rPr>
        <w:t>金</w:t>
      </w:r>
      <w:r w:rsidRPr="00A13068">
        <w:rPr>
          <w:rFonts w:asciiTheme="minorEastAsia" w:hAnsiTheme="minorEastAsia" w:cs="ＭＳ明朝" w:hint="eastAsia"/>
          <w:sz w:val="24"/>
          <w:szCs w:val="24"/>
        </w:rPr>
        <w:t>払認定調書</w:t>
      </w:r>
      <w:r w:rsidRPr="00A13068">
        <w:rPr>
          <w:rFonts w:asciiTheme="minorEastAsia" w:hAnsiTheme="minorEastAsia" w:cs="ＭＳ明朝" w:hint="eastAsia"/>
          <w:color w:val="000000" w:themeColor="text1"/>
          <w:sz w:val="24"/>
          <w:szCs w:val="24"/>
        </w:rPr>
        <w:t>（様式第３号）を２部作成し，１部を受注者に交付し，他の１</w:t>
      </w:r>
      <w:r w:rsidRPr="00A13068">
        <w:rPr>
          <w:rFonts w:asciiTheme="minorEastAsia" w:hAnsiTheme="minorEastAsia" w:cs="ＭＳ明朝" w:hint="eastAsia"/>
          <w:color w:val="000000" w:themeColor="text1"/>
          <w:sz w:val="24"/>
          <w:szCs w:val="24"/>
        </w:rPr>
        <w:lastRenderedPageBreak/>
        <w:t>部を保管するものとする。</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３</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前項の認定を受けた受注者が中間前金払の支払いを受けようとするときは，請求書と保証事業会社が発行した中間前払金保障証書を</w:t>
      </w:r>
      <w:r w:rsidRPr="00A13068">
        <w:rPr>
          <w:rFonts w:asciiTheme="minorEastAsia" w:hAnsiTheme="minorEastAsia" w:cs="ＭＳ明朝" w:hint="eastAsia"/>
          <w:color w:val="000000" w:themeColor="text1"/>
          <w:sz w:val="24"/>
          <w:szCs w:val="24"/>
        </w:rPr>
        <w:t>工事担当課に提出するものとする。</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４</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中間前払金の支払時期は，請求書</w:t>
      </w:r>
      <w:r>
        <w:rPr>
          <w:rFonts w:asciiTheme="minorEastAsia" w:hAnsiTheme="minorEastAsia" w:cs="ＭＳ明朝" w:hint="eastAsia"/>
          <w:sz w:val="24"/>
          <w:szCs w:val="24"/>
        </w:rPr>
        <w:t>及び</w:t>
      </w:r>
      <w:r w:rsidRPr="00A13068">
        <w:rPr>
          <w:rFonts w:asciiTheme="minorEastAsia" w:hAnsiTheme="minorEastAsia" w:cs="ＭＳ明朝" w:hint="eastAsia"/>
          <w:sz w:val="24"/>
          <w:szCs w:val="24"/>
        </w:rPr>
        <w:t>保障証書</w:t>
      </w:r>
      <w:r>
        <w:rPr>
          <w:rFonts w:asciiTheme="minorEastAsia" w:hAnsiTheme="minorEastAsia" w:cs="ＭＳ明朝" w:hint="eastAsia"/>
          <w:sz w:val="24"/>
          <w:szCs w:val="24"/>
        </w:rPr>
        <w:t>の提出があった</w:t>
      </w:r>
      <w:r w:rsidRPr="00A13068">
        <w:rPr>
          <w:rFonts w:asciiTheme="minorEastAsia" w:hAnsiTheme="minorEastAsia" w:cs="ＭＳ明朝" w:hint="eastAsia"/>
          <w:sz w:val="24"/>
          <w:szCs w:val="24"/>
        </w:rPr>
        <w:t>日から１４日以内に行うものとする。</w:t>
      </w:r>
    </w:p>
    <w:p w:rsidR="00A13068" w:rsidRPr="00A13068" w:rsidRDefault="00A13068" w:rsidP="00A13068">
      <w:pPr>
        <w:ind w:left="238" w:hangingChars="100" w:hanging="238"/>
        <w:rPr>
          <w:rFonts w:asciiTheme="minorEastAsia" w:hAnsiTheme="minorEastAsia" w:cs="ＭＳ明朝"/>
          <w:sz w:val="24"/>
          <w:szCs w:val="24"/>
        </w:rPr>
      </w:pPr>
      <w:r w:rsidRPr="00A13068">
        <w:rPr>
          <w:rFonts w:asciiTheme="minorEastAsia" w:hAnsiTheme="minorEastAsia" w:cs="ＭＳ明朝" w:hint="eastAsia"/>
          <w:sz w:val="24"/>
          <w:szCs w:val="24"/>
        </w:rPr>
        <w:t>５</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中間前払金の支払いは，申請者が保証事業会社の保証書に記載した前金払預託金融機関に振り込むものとする。</w:t>
      </w:r>
    </w:p>
    <w:p w:rsidR="00A13068" w:rsidRPr="00A13068" w:rsidRDefault="00A13068" w:rsidP="00A13068">
      <w:pPr>
        <w:rPr>
          <w:rFonts w:asciiTheme="minorEastAsia" w:hAnsiTheme="minorEastAsia" w:cs="ＭＳ明朝"/>
          <w:sz w:val="24"/>
          <w:szCs w:val="24"/>
        </w:rPr>
      </w:pPr>
    </w:p>
    <w:p w:rsidR="00A13068" w:rsidRPr="00A13068" w:rsidRDefault="00A13068" w:rsidP="00A13068">
      <w:pPr>
        <w:ind w:firstLineChars="300" w:firstLine="714"/>
        <w:rPr>
          <w:rFonts w:asciiTheme="minorEastAsia" w:hAnsiTheme="minorEastAsia" w:cs="ＭＳ明朝"/>
          <w:sz w:val="24"/>
          <w:szCs w:val="24"/>
        </w:rPr>
      </w:pPr>
      <w:r w:rsidRPr="00A13068">
        <w:rPr>
          <w:rFonts w:asciiTheme="minorEastAsia" w:hAnsiTheme="minorEastAsia" w:cs="ＭＳ明朝" w:hint="eastAsia"/>
          <w:sz w:val="24"/>
          <w:szCs w:val="24"/>
        </w:rPr>
        <w:t>附</w:t>
      </w:r>
      <w:r w:rsidRPr="00A13068">
        <w:rPr>
          <w:rFonts w:asciiTheme="minorEastAsia" w:hAnsiTheme="minorEastAsia" w:cs="ＭＳ明朝"/>
          <w:sz w:val="24"/>
          <w:szCs w:val="24"/>
        </w:rPr>
        <w:t xml:space="preserve"> </w:t>
      </w:r>
      <w:r w:rsidRPr="00A13068">
        <w:rPr>
          <w:rFonts w:asciiTheme="minorEastAsia" w:hAnsiTheme="minorEastAsia" w:cs="ＭＳ明朝" w:hint="eastAsia"/>
          <w:sz w:val="24"/>
          <w:szCs w:val="24"/>
        </w:rPr>
        <w:t>則</w:t>
      </w:r>
    </w:p>
    <w:p w:rsidR="00A13068" w:rsidRPr="00A13068" w:rsidRDefault="00A13068" w:rsidP="00A13068">
      <w:pPr>
        <w:rPr>
          <w:rFonts w:asciiTheme="minorEastAsia" w:hAnsiTheme="minorEastAsia" w:cs="ＭＳ明朝"/>
          <w:sz w:val="24"/>
          <w:szCs w:val="24"/>
        </w:rPr>
      </w:pPr>
    </w:p>
    <w:p w:rsidR="007E1E8E" w:rsidRPr="007E1E8E" w:rsidRDefault="00A13068" w:rsidP="00A13068">
      <w:r w:rsidRPr="00A13068">
        <w:rPr>
          <w:rFonts w:asciiTheme="minorEastAsia" w:hAnsiTheme="minorEastAsia" w:cs="ＭＳ明朝" w:hint="eastAsia"/>
          <w:sz w:val="24"/>
          <w:szCs w:val="24"/>
        </w:rPr>
        <w:t>この</w:t>
      </w:r>
      <w:r>
        <w:rPr>
          <w:rFonts w:asciiTheme="minorEastAsia" w:hAnsiTheme="minorEastAsia" w:cs="ＭＳ明朝" w:hint="eastAsia"/>
          <w:sz w:val="24"/>
          <w:szCs w:val="24"/>
        </w:rPr>
        <w:t>要領</w:t>
      </w:r>
      <w:r w:rsidRPr="00A13068">
        <w:rPr>
          <w:rFonts w:asciiTheme="minorEastAsia" w:hAnsiTheme="minorEastAsia" w:cs="ＭＳ明朝" w:hint="eastAsia"/>
          <w:sz w:val="24"/>
          <w:szCs w:val="24"/>
        </w:rPr>
        <w:t>は，平成２８年４月１日から施行する。</w:t>
      </w:r>
    </w:p>
    <w:sectPr w:rsidR="007E1E8E" w:rsidRPr="007E1E8E" w:rsidSect="004F1C9F">
      <w:footerReference w:type="default" r:id="rId6"/>
      <w:pgSz w:w="11905" w:h="16837"/>
      <w:pgMar w:top="1417" w:right="1417" w:bottom="1700" w:left="1417" w:header="720" w:footer="720" w:gutter="0"/>
      <w:cols w:space="720"/>
      <w:noEndnote/>
      <w:docGrid w:type="linesAndChars" w:linePitch="361"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B17" w:rsidRDefault="00114B17">
      <w:r>
        <w:separator/>
      </w:r>
    </w:p>
  </w:endnote>
  <w:endnote w:type="continuationSeparator" w:id="1">
    <w:p w:rsidR="00114B17" w:rsidRDefault="00114B1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ゴシック">
    <w:altName w:val="ＤＦＰ平成ゴシック体W5"/>
    <w:panose1 w:val="00000000000000000000"/>
    <w:charset w:val="80"/>
    <w:family w:val="auto"/>
    <w:notTrueType/>
    <w:pitch w:val="default"/>
    <w:sig w:usb0="00000001" w:usb1="08070000" w:usb2="00000010" w:usb3="00000000" w:csb0="00020000"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C9F" w:rsidRDefault="004F1C9F">
    <w:pPr>
      <w:spacing w:line="312" w:lineRule="atLeast"/>
      <w:jc w:val="center"/>
      <w:rPr>
        <w:rFonts w:ascii="Century" w:eastAsia="ＭＳ 明朝" w:hAnsi="ＭＳ 明朝" w:cs="ＭＳ 明朝"/>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B17" w:rsidRDefault="00114B17">
      <w:r>
        <w:separator/>
      </w:r>
    </w:p>
  </w:footnote>
  <w:footnote w:type="continuationSeparator" w:id="1">
    <w:p w:rsidR="00114B17" w:rsidRDefault="00114B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9"/>
  <w:drawingGridVerticalSpacing w:val="361"/>
  <w:displayHorizontalDrawingGridEvery w:val="0"/>
  <w:doNotUseMarginsForDrawingGridOrigin/>
  <w:doNotShadeFormData/>
  <w:characterSpacingControl w:val="compressPunctuation"/>
  <w:doNotValidateAgainstSchema/>
  <w:doNotDemarcateInvalidXml/>
  <w:hdrShapeDefaults>
    <o:shapedefaults v:ext="edit" spidmax="921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5DF1"/>
    <w:rsid w:val="00114B17"/>
    <w:rsid w:val="002F4A2F"/>
    <w:rsid w:val="004D7E75"/>
    <w:rsid w:val="004F1C9F"/>
    <w:rsid w:val="004F5979"/>
    <w:rsid w:val="006652C9"/>
    <w:rsid w:val="006F5DF1"/>
    <w:rsid w:val="007875DC"/>
    <w:rsid w:val="007E1E8E"/>
    <w:rsid w:val="00A13068"/>
    <w:rsid w:val="00B978D4"/>
    <w:rsid w:val="00E141C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C9F"/>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F5DF1"/>
    <w:pPr>
      <w:tabs>
        <w:tab w:val="center" w:pos="4252"/>
        <w:tab w:val="right" w:pos="8504"/>
      </w:tabs>
      <w:snapToGrid w:val="0"/>
    </w:pPr>
  </w:style>
  <w:style w:type="character" w:customStyle="1" w:styleId="a4">
    <w:name w:val="ヘッダー (文字)"/>
    <w:basedOn w:val="a0"/>
    <w:link w:val="a3"/>
    <w:uiPriority w:val="99"/>
    <w:semiHidden/>
    <w:rsid w:val="006F5DF1"/>
    <w:rPr>
      <w:rFonts w:ascii="Arial" w:hAnsi="Arial" w:cs="Arial"/>
      <w:kern w:val="0"/>
      <w:sz w:val="26"/>
      <w:szCs w:val="26"/>
    </w:rPr>
  </w:style>
  <w:style w:type="paragraph" w:styleId="a5">
    <w:name w:val="footer"/>
    <w:basedOn w:val="a"/>
    <w:link w:val="a6"/>
    <w:uiPriority w:val="99"/>
    <w:semiHidden/>
    <w:unhideWhenUsed/>
    <w:rsid w:val="006F5DF1"/>
    <w:pPr>
      <w:tabs>
        <w:tab w:val="center" w:pos="4252"/>
        <w:tab w:val="right" w:pos="8504"/>
      </w:tabs>
      <w:snapToGrid w:val="0"/>
    </w:pPr>
  </w:style>
  <w:style w:type="character" w:customStyle="1" w:styleId="a6">
    <w:name w:val="フッター (文字)"/>
    <w:basedOn w:val="a0"/>
    <w:link w:val="a5"/>
    <w:uiPriority w:val="99"/>
    <w:semiHidden/>
    <w:rsid w:val="006F5DF1"/>
    <w:rPr>
      <w:rFonts w:ascii="Arial" w:hAnsi="Arial" w:cs="Arial"/>
      <w:kern w:val="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CX5P1155</dc:creator>
  <cp:lastModifiedBy>CL5P1185</cp:lastModifiedBy>
  <cp:revision>3</cp:revision>
  <dcterms:created xsi:type="dcterms:W3CDTF">2016-04-14T07:37:00Z</dcterms:created>
  <dcterms:modified xsi:type="dcterms:W3CDTF">2016-04-14T07:50:00Z</dcterms:modified>
</cp:coreProperties>
</file>